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Анализ </w:t>
      </w:r>
      <w:proofErr w:type="gramStart"/>
      <w:r w:rsidRPr="00613E4E">
        <w:rPr>
          <w:rStyle w:val="a4"/>
          <w:sz w:val="26"/>
          <w:szCs w:val="26"/>
        </w:rPr>
        <w:t>финансовых</w:t>
      </w:r>
      <w:proofErr w:type="gramEnd"/>
      <w:r w:rsidRPr="00613E4E">
        <w:rPr>
          <w:rStyle w:val="a4"/>
          <w:sz w:val="26"/>
          <w:szCs w:val="26"/>
        </w:rPr>
        <w:t>, экономических, социальных и</w:t>
      </w:r>
    </w:p>
    <w:p w:rsidR="00FB5DBA" w:rsidRPr="00613E4E" w:rsidRDefault="00FB5DBA" w:rsidP="00613E4E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613E4E">
        <w:rPr>
          <w:rStyle w:val="a4"/>
          <w:sz w:val="26"/>
          <w:szCs w:val="26"/>
        </w:rPr>
        <w:t xml:space="preserve">иных показателей развития малого и среднего предпринимательства и эффективности применения мер по его развитию на территории </w:t>
      </w:r>
      <w:proofErr w:type="spellStart"/>
      <w:r w:rsidR="00613E4E" w:rsidRPr="00613E4E">
        <w:rPr>
          <w:rStyle w:val="a4"/>
          <w:sz w:val="26"/>
          <w:szCs w:val="26"/>
        </w:rPr>
        <w:t>Колышлейского</w:t>
      </w:r>
      <w:proofErr w:type="spellEnd"/>
      <w:r w:rsidR="00613E4E" w:rsidRPr="00613E4E">
        <w:rPr>
          <w:rStyle w:val="a4"/>
          <w:sz w:val="26"/>
          <w:szCs w:val="26"/>
        </w:rPr>
        <w:t xml:space="preserve"> района </w:t>
      </w:r>
      <w:r w:rsidRPr="00613E4E">
        <w:rPr>
          <w:rStyle w:val="a4"/>
          <w:sz w:val="26"/>
          <w:szCs w:val="26"/>
        </w:rPr>
        <w:t>по итогам 20</w:t>
      </w:r>
      <w:r w:rsidR="00613E4E" w:rsidRPr="00613E4E">
        <w:rPr>
          <w:rStyle w:val="a4"/>
          <w:sz w:val="26"/>
          <w:szCs w:val="26"/>
        </w:rPr>
        <w:t>2</w:t>
      </w:r>
      <w:r w:rsidR="006B7C9C">
        <w:rPr>
          <w:rStyle w:val="a4"/>
          <w:sz w:val="26"/>
          <w:szCs w:val="26"/>
        </w:rPr>
        <w:t>1</w:t>
      </w:r>
      <w:r w:rsidRPr="00613E4E">
        <w:rPr>
          <w:rStyle w:val="a4"/>
          <w:sz w:val="26"/>
          <w:szCs w:val="26"/>
        </w:rPr>
        <w:t xml:space="preserve"> года</w:t>
      </w:r>
    </w:p>
    <w:p w:rsidR="00815119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FB5DBA" w:rsidRPr="00502423" w:rsidRDefault="00815119" w:rsidP="00613E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502423">
        <w:rPr>
          <w:color w:val="000000"/>
          <w:sz w:val="26"/>
          <w:szCs w:val="26"/>
        </w:rPr>
        <w:t xml:space="preserve">Анализ состояния </w:t>
      </w:r>
      <w:r w:rsidRPr="00502423">
        <w:rPr>
          <w:sz w:val="26"/>
          <w:szCs w:val="26"/>
        </w:rPr>
        <w:t xml:space="preserve">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</w:t>
      </w:r>
      <w:r w:rsidR="00FB5DBA" w:rsidRPr="00502423">
        <w:rPr>
          <w:sz w:val="26"/>
          <w:szCs w:val="26"/>
        </w:rPr>
        <w:t xml:space="preserve">на территории </w:t>
      </w:r>
      <w:proofErr w:type="spellStart"/>
      <w:r w:rsidR="00613E4E" w:rsidRPr="00502423">
        <w:rPr>
          <w:sz w:val="26"/>
          <w:szCs w:val="26"/>
        </w:rPr>
        <w:t>Колышлейского</w:t>
      </w:r>
      <w:proofErr w:type="spellEnd"/>
      <w:r w:rsidR="00613E4E" w:rsidRPr="00502423">
        <w:rPr>
          <w:sz w:val="26"/>
          <w:szCs w:val="26"/>
        </w:rPr>
        <w:t xml:space="preserve"> района</w:t>
      </w:r>
      <w:r w:rsidR="00FB5DBA" w:rsidRPr="00502423">
        <w:rPr>
          <w:sz w:val="26"/>
          <w:szCs w:val="26"/>
        </w:rPr>
        <w:t xml:space="preserve"> по итогам 20</w:t>
      </w:r>
      <w:r w:rsidR="00613E4E" w:rsidRPr="00502423">
        <w:rPr>
          <w:sz w:val="26"/>
          <w:szCs w:val="26"/>
        </w:rPr>
        <w:t>20</w:t>
      </w:r>
      <w:r w:rsidR="00FB5DBA" w:rsidRPr="00502423">
        <w:rPr>
          <w:sz w:val="26"/>
          <w:szCs w:val="26"/>
        </w:rPr>
        <w:t xml:space="preserve"> года подготовлен на основании статьи 11 Федерального закона от 24 июля 2007 г. № 209-ФЗ «О развитии малого и среднего предпринимательства в Российской Федерации».</w:t>
      </w:r>
      <w:proofErr w:type="gramEnd"/>
    </w:p>
    <w:p w:rsidR="002C5335" w:rsidRPr="00502423" w:rsidRDefault="002C5335" w:rsidP="002C5335">
      <w:pPr>
        <w:pStyle w:val="a7"/>
        <w:spacing w:before="0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Снижение количества субъектов в 2020 году обусловлено изменениями федерального и регионального законодательства в сфере налогообложения (отмена ЕНВД, маркировки товаров, переход в категорию </w:t>
      </w:r>
      <w:proofErr w:type="spellStart"/>
      <w:r w:rsidRPr="00502423">
        <w:rPr>
          <w:rFonts w:ascii="Times New Roman" w:hAnsi="Times New Roman" w:cs="Times New Roman"/>
          <w:bCs/>
          <w:iCs/>
          <w:sz w:val="26"/>
          <w:szCs w:val="26"/>
        </w:rPr>
        <w:t>самозанятых</w:t>
      </w:r>
      <w:proofErr w:type="spellEnd"/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и </w:t>
      </w:r>
      <w:proofErr w:type="spellStart"/>
      <w:proofErr w:type="gramStart"/>
      <w:r w:rsidRPr="00502423">
        <w:rPr>
          <w:rFonts w:ascii="Times New Roman" w:hAnsi="Times New Roman" w:cs="Times New Roman"/>
          <w:bCs/>
          <w:iCs/>
          <w:sz w:val="26"/>
          <w:szCs w:val="26"/>
        </w:rPr>
        <w:t>др</w:t>
      </w:r>
      <w:proofErr w:type="spellEnd"/>
      <w:proofErr w:type="gramEnd"/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). За 2021 год количество субъектов МСП увеличилось на 102,5 %. На плановый период незначительный рост числа субъектов МСП обусловлен стабилизацией обстановки и проведением мероприятий по легализации теневого бизнеса, а также реализацией социальных контрактов на территории </w:t>
      </w:r>
      <w:proofErr w:type="spellStart"/>
      <w:r w:rsidRPr="00502423">
        <w:rPr>
          <w:rFonts w:ascii="Times New Roman" w:hAnsi="Times New Roman" w:cs="Times New Roman"/>
          <w:bCs/>
          <w:iCs/>
          <w:sz w:val="26"/>
          <w:szCs w:val="26"/>
        </w:rPr>
        <w:t>Колышлейского</w:t>
      </w:r>
      <w:proofErr w:type="spellEnd"/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района.</w:t>
      </w:r>
    </w:p>
    <w:p w:rsidR="00613E4E" w:rsidRPr="00502423" w:rsidRDefault="00613E4E" w:rsidP="00613E4E">
      <w:pPr>
        <w:spacing w:before="0"/>
        <w:rPr>
          <w:rFonts w:ascii="Times New Roman" w:hAnsi="Times New Roman" w:cs="Times New Roman"/>
          <w:bCs/>
          <w:iCs/>
          <w:sz w:val="26"/>
          <w:szCs w:val="26"/>
        </w:rPr>
      </w:pPr>
    </w:p>
    <w:p w:rsidR="00613E4E" w:rsidRPr="00502423" w:rsidRDefault="006B7C9C" w:rsidP="00613E4E">
      <w:pPr>
        <w:spacing w:before="0"/>
        <w:rPr>
          <w:rFonts w:ascii="Times New Roman" w:hAnsi="Times New Roman" w:cs="Times New Roman"/>
          <w:bCs/>
          <w:iCs/>
          <w:sz w:val="26"/>
          <w:szCs w:val="26"/>
        </w:rPr>
      </w:pPr>
      <w:r w:rsidRPr="00502423">
        <w:rPr>
          <w:rFonts w:ascii="Times New Roman" w:hAnsi="Times New Roman" w:cs="Times New Roman"/>
          <w:bCs/>
          <w:iCs/>
          <w:sz w:val="26"/>
          <w:szCs w:val="26"/>
        </w:rPr>
        <w:drawing>
          <wp:inline distT="0" distB="0" distL="0" distR="0">
            <wp:extent cx="5940425" cy="2895600"/>
            <wp:effectExtent l="19050" t="0" r="222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13E4E" w:rsidRPr="00502423" w:rsidRDefault="00613E4E" w:rsidP="00613E4E">
      <w:pPr>
        <w:spacing w:before="0"/>
        <w:rPr>
          <w:rFonts w:ascii="Times New Roman" w:hAnsi="Times New Roman" w:cs="Times New Roman"/>
          <w:bCs/>
          <w:iCs/>
          <w:sz w:val="26"/>
          <w:szCs w:val="26"/>
        </w:rPr>
      </w:pPr>
    </w:p>
    <w:p w:rsidR="00F6116F" w:rsidRPr="00502423" w:rsidRDefault="00F6116F" w:rsidP="00F6116F">
      <w:pPr>
        <w:spacing w:before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02423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="00613E4E"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период</w:t>
      </w: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202</w:t>
      </w:r>
      <w:r w:rsidR="002C5335" w:rsidRPr="00502423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-2025 гг. планируется </w:t>
      </w:r>
      <w:r w:rsidR="00613E4E"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 незначительный рост числа субъектов МСП</w:t>
      </w:r>
      <w:r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, который </w:t>
      </w:r>
      <w:r w:rsidR="00613E4E" w:rsidRPr="00502423">
        <w:rPr>
          <w:rFonts w:ascii="Times New Roman" w:hAnsi="Times New Roman" w:cs="Times New Roman"/>
          <w:bCs/>
          <w:iCs/>
          <w:sz w:val="26"/>
          <w:szCs w:val="26"/>
        </w:rPr>
        <w:t xml:space="preserve">обусловлен стабилизацией обстановки и проведением мероприятий по легализации теневого бизнеса. Реализация мероприятий в рамках социального контракта также будет способствовать созданию новых субъектов МСП, а также регистрации физических лиц в качестве плательщиков на профессиональный доход (в качестве </w:t>
      </w:r>
      <w:proofErr w:type="spellStart"/>
      <w:r w:rsidR="00613E4E" w:rsidRPr="00502423">
        <w:rPr>
          <w:rFonts w:ascii="Times New Roman" w:hAnsi="Times New Roman" w:cs="Times New Roman"/>
          <w:bCs/>
          <w:iCs/>
          <w:sz w:val="26"/>
          <w:szCs w:val="26"/>
        </w:rPr>
        <w:t>самозанятых</w:t>
      </w:r>
      <w:proofErr w:type="spellEnd"/>
      <w:r w:rsidR="00613E4E" w:rsidRPr="00502423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:rsidR="005B4F21" w:rsidRPr="00502423" w:rsidRDefault="00613E4E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eastAsia="Calibri" w:hAnsi="Times New Roman" w:cs="Times New Roman"/>
          <w:sz w:val="26"/>
          <w:szCs w:val="26"/>
        </w:rPr>
        <w:t>По состоянию на 01.01.202</w:t>
      </w:r>
      <w:r w:rsidR="002C5335" w:rsidRPr="00502423">
        <w:rPr>
          <w:rFonts w:ascii="Times New Roman" w:eastAsia="Calibri" w:hAnsi="Times New Roman" w:cs="Times New Roman"/>
          <w:sz w:val="26"/>
          <w:szCs w:val="26"/>
        </w:rPr>
        <w:t>2</w:t>
      </w:r>
      <w:r w:rsidRPr="00502423">
        <w:rPr>
          <w:rFonts w:ascii="Times New Roman" w:eastAsia="Calibri" w:hAnsi="Times New Roman" w:cs="Times New Roman"/>
          <w:sz w:val="26"/>
          <w:szCs w:val="26"/>
        </w:rPr>
        <w:t xml:space="preserve"> г. на территории района зарегистрировано </w:t>
      </w:r>
      <w:r w:rsidR="002C5335" w:rsidRPr="00502423">
        <w:rPr>
          <w:rFonts w:ascii="Times New Roman" w:eastAsia="Calibri" w:hAnsi="Times New Roman" w:cs="Times New Roman"/>
          <w:sz w:val="26"/>
          <w:szCs w:val="26"/>
        </w:rPr>
        <w:t>40</w:t>
      </w:r>
      <w:r w:rsidRPr="00502423">
        <w:rPr>
          <w:rFonts w:ascii="Times New Roman" w:eastAsia="Calibri" w:hAnsi="Times New Roman" w:cs="Times New Roman"/>
          <w:sz w:val="26"/>
          <w:szCs w:val="26"/>
        </w:rPr>
        <w:t>7</w:t>
      </w:r>
      <w:r w:rsidRPr="005024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02423">
        <w:rPr>
          <w:rFonts w:ascii="Times New Roman" w:eastAsia="Calibri" w:hAnsi="Times New Roman" w:cs="Times New Roman"/>
          <w:sz w:val="26"/>
          <w:szCs w:val="26"/>
        </w:rPr>
        <w:t>субъектов малого и среднего предпринимательства</w:t>
      </w:r>
      <w:r w:rsidRPr="00502423">
        <w:rPr>
          <w:rFonts w:ascii="Times New Roman" w:hAnsi="Times New Roman" w:cs="Times New Roman"/>
          <w:sz w:val="26"/>
          <w:szCs w:val="26"/>
        </w:rPr>
        <w:t>, их них по видам экономической деятельности: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Оптовая и розничная торговля – 34,6%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Сельское хозяйство и переработка с/</w:t>
      </w:r>
      <w:proofErr w:type="spellStart"/>
      <w:r w:rsidRPr="0050242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502423">
        <w:rPr>
          <w:rFonts w:ascii="Times New Roman" w:hAnsi="Times New Roman" w:cs="Times New Roman"/>
          <w:sz w:val="26"/>
          <w:szCs w:val="26"/>
        </w:rPr>
        <w:t xml:space="preserve"> продукции – 20,4%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Пассажирские и грузоперевозки – 14,7%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lastRenderedPageBreak/>
        <w:t>Строительство и ремонт – 6,6%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Ремонт автотранспортных средств – 2,7%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Деятельность кафе и ресторанов – 1,7%</w:t>
      </w:r>
    </w:p>
    <w:p w:rsidR="005B4F21" w:rsidRPr="00502423" w:rsidRDefault="005B4F21" w:rsidP="005B4F21">
      <w:pPr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423">
        <w:rPr>
          <w:rFonts w:ascii="Times New Roman" w:hAnsi="Times New Roman" w:cs="Times New Roman"/>
          <w:sz w:val="26"/>
          <w:szCs w:val="26"/>
        </w:rPr>
        <w:t>Прочие – 19,3%.</w:t>
      </w:r>
    </w:p>
    <w:p w:rsidR="00613E4E" w:rsidRPr="00502423" w:rsidRDefault="000521E4" w:rsidP="00FB5DBA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drawing>
          <wp:inline distT="0" distB="0" distL="0" distR="0">
            <wp:extent cx="6029325" cy="33242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206C0" w:rsidRPr="00502423" w:rsidRDefault="00F6116F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Как видно из представленной структуры субъектов МСП, основным видом деятельности является торговля, на втором месте – сельское хозяйство и переработка.</w:t>
      </w:r>
      <w:r w:rsidR="00A206C0" w:rsidRPr="00502423">
        <w:rPr>
          <w:sz w:val="26"/>
          <w:szCs w:val="26"/>
        </w:rPr>
        <w:t xml:space="preserve"> </w:t>
      </w:r>
    </w:p>
    <w:p w:rsidR="00554124" w:rsidRPr="00502423" w:rsidRDefault="00554124" w:rsidP="00A206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 w:rsidRPr="00502423">
        <w:rPr>
          <w:rFonts w:eastAsia="Calibri"/>
          <w:sz w:val="26"/>
          <w:szCs w:val="26"/>
        </w:rPr>
        <w:t>По состоянию на 01.01.202</w:t>
      </w:r>
      <w:r w:rsidR="002C5335" w:rsidRPr="00502423">
        <w:rPr>
          <w:rFonts w:eastAsia="Calibri"/>
          <w:sz w:val="26"/>
          <w:szCs w:val="26"/>
        </w:rPr>
        <w:t>2</w:t>
      </w:r>
      <w:r w:rsidRPr="00502423">
        <w:rPr>
          <w:rFonts w:eastAsia="Calibri"/>
          <w:sz w:val="26"/>
          <w:szCs w:val="26"/>
        </w:rPr>
        <w:t xml:space="preserve"> г. на территории района зарегистрировано </w:t>
      </w:r>
      <w:r w:rsidR="002C5335" w:rsidRPr="00502423">
        <w:rPr>
          <w:rFonts w:eastAsia="Calibri"/>
          <w:sz w:val="26"/>
          <w:szCs w:val="26"/>
        </w:rPr>
        <w:t>40</w:t>
      </w:r>
      <w:r w:rsidRPr="00502423">
        <w:rPr>
          <w:rFonts w:eastAsia="Calibri"/>
          <w:sz w:val="26"/>
          <w:szCs w:val="26"/>
        </w:rPr>
        <w:t>7</w:t>
      </w:r>
      <w:r w:rsidRPr="00502423">
        <w:rPr>
          <w:rFonts w:eastAsia="Calibri"/>
          <w:color w:val="000000"/>
          <w:sz w:val="26"/>
          <w:szCs w:val="26"/>
        </w:rPr>
        <w:t xml:space="preserve"> </w:t>
      </w:r>
      <w:r w:rsidRPr="00502423">
        <w:rPr>
          <w:rFonts w:eastAsia="Calibri"/>
          <w:sz w:val="26"/>
          <w:szCs w:val="26"/>
        </w:rPr>
        <w:t xml:space="preserve">субъектов малого и среднего предпринимательства. </w:t>
      </w:r>
      <w:r w:rsidRPr="00502423">
        <w:rPr>
          <w:rFonts w:eastAsia="Calibri"/>
          <w:color w:val="000000"/>
          <w:sz w:val="26"/>
          <w:szCs w:val="26"/>
        </w:rPr>
        <w:t>За 202</w:t>
      </w:r>
      <w:r w:rsidR="002C5335" w:rsidRPr="00502423">
        <w:rPr>
          <w:rFonts w:eastAsia="Calibri"/>
          <w:color w:val="000000"/>
          <w:sz w:val="26"/>
          <w:szCs w:val="26"/>
        </w:rPr>
        <w:t>1</w:t>
      </w:r>
      <w:r w:rsidRPr="00502423">
        <w:rPr>
          <w:rFonts w:eastAsia="Calibri"/>
          <w:color w:val="000000"/>
          <w:sz w:val="26"/>
          <w:szCs w:val="26"/>
        </w:rPr>
        <w:t xml:space="preserve"> год зарегистрировано </w:t>
      </w:r>
      <w:r w:rsidR="002C5335" w:rsidRPr="00502423">
        <w:rPr>
          <w:rFonts w:eastAsia="Calibri"/>
          <w:color w:val="000000"/>
          <w:sz w:val="26"/>
          <w:szCs w:val="26"/>
        </w:rPr>
        <w:t>88</w:t>
      </w:r>
      <w:r w:rsidRPr="00502423">
        <w:rPr>
          <w:rFonts w:eastAsia="Calibri"/>
          <w:color w:val="000000"/>
          <w:sz w:val="26"/>
          <w:szCs w:val="26"/>
        </w:rPr>
        <w:t xml:space="preserve"> субъектов предпринимательства, в том числе </w:t>
      </w:r>
      <w:r w:rsidR="002C5335" w:rsidRPr="00502423">
        <w:rPr>
          <w:rFonts w:eastAsia="Calibri"/>
          <w:color w:val="000000"/>
          <w:sz w:val="26"/>
          <w:szCs w:val="26"/>
        </w:rPr>
        <w:t>86</w:t>
      </w:r>
      <w:r w:rsidRPr="00502423">
        <w:rPr>
          <w:rFonts w:eastAsia="Calibri"/>
          <w:color w:val="000000"/>
          <w:sz w:val="26"/>
          <w:szCs w:val="26"/>
        </w:rPr>
        <w:t xml:space="preserve"> – ИП, </w:t>
      </w:r>
      <w:r w:rsidR="002C5335" w:rsidRPr="00502423">
        <w:rPr>
          <w:rFonts w:eastAsia="Calibri"/>
          <w:color w:val="000000"/>
          <w:sz w:val="26"/>
          <w:szCs w:val="26"/>
        </w:rPr>
        <w:t>2</w:t>
      </w:r>
      <w:r w:rsidRPr="00502423">
        <w:rPr>
          <w:rFonts w:eastAsia="Calibri"/>
          <w:color w:val="000000"/>
          <w:sz w:val="26"/>
          <w:szCs w:val="26"/>
        </w:rPr>
        <w:t xml:space="preserve"> –ООО. </w:t>
      </w:r>
      <w:r w:rsidR="00A206C0" w:rsidRPr="00502423">
        <w:rPr>
          <w:color w:val="000000"/>
          <w:sz w:val="26"/>
          <w:szCs w:val="26"/>
        </w:rPr>
        <w:t xml:space="preserve">Также 236 человек зарегистрировались в качестве </w:t>
      </w:r>
      <w:proofErr w:type="spellStart"/>
      <w:r w:rsidR="00A206C0" w:rsidRPr="00502423">
        <w:rPr>
          <w:color w:val="000000"/>
          <w:sz w:val="26"/>
          <w:szCs w:val="26"/>
        </w:rPr>
        <w:t>самозанятых</w:t>
      </w:r>
      <w:proofErr w:type="spellEnd"/>
      <w:r w:rsidR="00A206C0" w:rsidRPr="00502423">
        <w:rPr>
          <w:color w:val="000000"/>
          <w:sz w:val="26"/>
          <w:szCs w:val="26"/>
        </w:rPr>
        <w:t>. Всего по состоянию на 01.01.2022 года плательщиков налога на профессиональный доход – 362</w:t>
      </w:r>
      <w:r w:rsidR="00A206C0" w:rsidRPr="00502423">
        <w:rPr>
          <w:color w:val="FF0000"/>
          <w:sz w:val="26"/>
          <w:szCs w:val="26"/>
        </w:rPr>
        <w:t>.</w:t>
      </w:r>
      <w:r w:rsidR="00A206C0" w:rsidRPr="00502423">
        <w:rPr>
          <w:color w:val="000000"/>
          <w:sz w:val="26"/>
          <w:szCs w:val="26"/>
        </w:rPr>
        <w:t xml:space="preserve"> </w:t>
      </w:r>
    </w:p>
    <w:p w:rsidR="00554124" w:rsidRPr="00502423" w:rsidRDefault="00554124" w:rsidP="006D2852">
      <w:pPr>
        <w:spacing w:before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423">
        <w:rPr>
          <w:rFonts w:ascii="Times New Roman" w:eastAsia="Calibri" w:hAnsi="Times New Roman" w:cs="Times New Roman"/>
          <w:sz w:val="26"/>
          <w:szCs w:val="26"/>
        </w:rPr>
        <w:t>Среднемесячная заработная плата работников крупных и средних предприятий за 202</w:t>
      </w:r>
      <w:r w:rsidR="002C5335" w:rsidRPr="00502423">
        <w:rPr>
          <w:rFonts w:ascii="Times New Roman" w:eastAsia="Calibri" w:hAnsi="Times New Roman" w:cs="Times New Roman"/>
          <w:sz w:val="26"/>
          <w:szCs w:val="26"/>
        </w:rPr>
        <w:t>1</w:t>
      </w:r>
      <w:r w:rsidRPr="00502423">
        <w:rPr>
          <w:rFonts w:ascii="Times New Roman" w:eastAsia="Calibri" w:hAnsi="Times New Roman" w:cs="Times New Roman"/>
          <w:sz w:val="26"/>
          <w:szCs w:val="26"/>
        </w:rPr>
        <w:t xml:space="preserve"> год составила – </w:t>
      </w:r>
      <w:r w:rsidR="00A206C0" w:rsidRPr="00502423">
        <w:rPr>
          <w:rFonts w:ascii="Times New Roman" w:eastAsia="Calibri" w:hAnsi="Times New Roman" w:cs="Times New Roman"/>
          <w:sz w:val="26"/>
          <w:szCs w:val="26"/>
        </w:rPr>
        <w:t>31119,8</w:t>
      </w:r>
      <w:r w:rsidRPr="00502423">
        <w:rPr>
          <w:rFonts w:ascii="Times New Roman" w:eastAsia="Calibri" w:hAnsi="Times New Roman" w:cs="Times New Roman"/>
          <w:sz w:val="26"/>
          <w:szCs w:val="26"/>
        </w:rPr>
        <w:t xml:space="preserve"> руб. или 10</w:t>
      </w:r>
      <w:r w:rsidR="00A206C0" w:rsidRPr="00502423">
        <w:rPr>
          <w:rFonts w:ascii="Times New Roman" w:eastAsia="Calibri" w:hAnsi="Times New Roman" w:cs="Times New Roman"/>
          <w:sz w:val="26"/>
          <w:szCs w:val="26"/>
        </w:rPr>
        <w:t>9</w:t>
      </w:r>
      <w:r w:rsidRPr="00502423">
        <w:rPr>
          <w:rFonts w:ascii="Times New Roman" w:eastAsia="Calibri" w:hAnsi="Times New Roman" w:cs="Times New Roman"/>
          <w:sz w:val="26"/>
          <w:szCs w:val="26"/>
        </w:rPr>
        <w:t>,</w:t>
      </w:r>
      <w:r w:rsidR="00A206C0" w:rsidRPr="00502423">
        <w:rPr>
          <w:rFonts w:ascii="Times New Roman" w:eastAsia="Calibri" w:hAnsi="Times New Roman" w:cs="Times New Roman"/>
          <w:sz w:val="26"/>
          <w:szCs w:val="26"/>
        </w:rPr>
        <w:t>2</w:t>
      </w:r>
      <w:r w:rsidRPr="00502423">
        <w:rPr>
          <w:rFonts w:ascii="Times New Roman" w:eastAsia="Calibri" w:hAnsi="Times New Roman" w:cs="Times New Roman"/>
          <w:sz w:val="26"/>
          <w:szCs w:val="26"/>
        </w:rPr>
        <w:t>% к уровню прошлого года.</w:t>
      </w:r>
    </w:p>
    <w:p w:rsidR="00554124" w:rsidRPr="00502423" w:rsidRDefault="00CC2730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BFBFB"/>
        </w:rPr>
      </w:pPr>
      <w:r w:rsidRPr="00502423">
        <w:rPr>
          <w:sz w:val="26"/>
          <w:szCs w:val="26"/>
          <w:shd w:val="clear" w:color="auto" w:fill="FBFBFB"/>
        </w:rPr>
        <w:t xml:space="preserve">С целью развития малого бизнеса и оказания помощи предпринимателям </w:t>
      </w:r>
      <w:r w:rsidR="00642839" w:rsidRPr="00502423">
        <w:rPr>
          <w:sz w:val="26"/>
          <w:szCs w:val="26"/>
          <w:shd w:val="clear" w:color="auto" w:fill="FBFBFB"/>
        </w:rPr>
        <w:t xml:space="preserve">в районе </w:t>
      </w:r>
      <w:r w:rsidRPr="00502423">
        <w:rPr>
          <w:sz w:val="26"/>
          <w:szCs w:val="26"/>
          <w:shd w:val="clear" w:color="auto" w:fill="FBFBFB"/>
        </w:rPr>
        <w:t>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консультационная поддержка. Регулярно проводятся беседы с руководителями предприятий и индивидуальными предпринимателями по увеличению заработной платы и доведени</w:t>
      </w:r>
      <w:r w:rsidR="00642839" w:rsidRPr="00502423">
        <w:rPr>
          <w:sz w:val="26"/>
          <w:szCs w:val="26"/>
          <w:shd w:val="clear" w:color="auto" w:fill="FBFBFB"/>
        </w:rPr>
        <w:t>ю</w:t>
      </w:r>
      <w:r w:rsidRPr="00502423">
        <w:rPr>
          <w:sz w:val="26"/>
          <w:szCs w:val="26"/>
          <w:shd w:val="clear" w:color="auto" w:fill="FBFBFB"/>
        </w:rPr>
        <w:t xml:space="preserve"> ее до среднеотраслевого уровня, а также по обеспечению полноты и своевременности уплаты НДФЛ и других налоговых платежей в местный бюджет поселения.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02423">
        <w:rPr>
          <w:sz w:val="26"/>
          <w:szCs w:val="26"/>
        </w:rPr>
        <w:t xml:space="preserve">На развитие предпринимательства на территории </w:t>
      </w:r>
      <w:proofErr w:type="spellStart"/>
      <w:r w:rsidR="00CC2730" w:rsidRPr="00502423">
        <w:rPr>
          <w:sz w:val="26"/>
          <w:szCs w:val="26"/>
        </w:rPr>
        <w:t>Колышлейского</w:t>
      </w:r>
      <w:proofErr w:type="spellEnd"/>
      <w:r w:rsidR="00CC2730" w:rsidRPr="00502423">
        <w:rPr>
          <w:sz w:val="26"/>
          <w:szCs w:val="26"/>
        </w:rPr>
        <w:t xml:space="preserve"> района </w:t>
      </w:r>
      <w:r w:rsidRPr="00502423">
        <w:rPr>
          <w:sz w:val="26"/>
          <w:szCs w:val="26"/>
        </w:rPr>
        <w:t>серьезное влияние оказывают существующая экономическая ситуация и связанные с ней общие проблемы, а именно:</w:t>
      </w:r>
    </w:p>
    <w:p w:rsidR="003158AE" w:rsidRPr="00502423" w:rsidRDefault="003158AE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lastRenderedPageBreak/>
        <w:t>- изменения  федерального и регионального законодательства, которое влечет за собой дополнительные финансовые затраты (отмена ЕНВД, введение маркировки товаров и т.д.);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дефицит квалифицированных кадров, недостаточный уровень профессиональной подготовки;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FB5DBA" w:rsidRPr="00502423" w:rsidRDefault="00FB5DBA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2423">
        <w:rPr>
          <w:sz w:val="26"/>
          <w:szCs w:val="26"/>
        </w:rPr>
        <w:t>- низкая предприн</w:t>
      </w:r>
      <w:r w:rsidR="00CC2730" w:rsidRPr="00502423">
        <w:rPr>
          <w:sz w:val="26"/>
          <w:szCs w:val="26"/>
        </w:rPr>
        <w:t>имательская активность молодежи.</w:t>
      </w:r>
    </w:p>
    <w:p w:rsidR="006D2852" w:rsidRPr="00502423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развития малого и среднего предпринимательства и обеспечения роста их количества на территории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Колышлейского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района реализуется муниципальная программа «Развитие инвестиционного потенциала, инновационной деятельности и предпринимательства в </w:t>
      </w:r>
      <w:proofErr w:type="spell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Колышлейском</w:t>
      </w:r>
      <w:proofErr w:type="spellEnd"/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районе Пензенской области на 2014-2024 годы».</w:t>
      </w:r>
    </w:p>
    <w:p w:rsidR="006D2852" w:rsidRPr="006D2852" w:rsidRDefault="006D2852" w:rsidP="006D2852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502423">
        <w:rPr>
          <w:rFonts w:ascii="Times New Roman" w:hAnsi="Times New Roman" w:cs="Times New Roman"/>
          <w:sz w:val="26"/>
          <w:szCs w:val="26"/>
          <w:lang w:eastAsia="ru-RU"/>
        </w:rPr>
        <w:t>Проведение мероприятий в рамках реализации вопросов по содействию развитию малого бизнеса, а также поддержка, оказываемая субъектам малого предпринимательства приведет к формированию благоприятного климата для развития малого и среднего предпринимательства и увеличению количества зарегистрированных на территории муниципального образования предприятий, увеличению рабочих мест, увеличению объем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поступлени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налогов в бюджет, обеспечению комфортного проживания </w:t>
      </w:r>
      <w:r w:rsidR="00642839" w:rsidRPr="00502423">
        <w:rPr>
          <w:rFonts w:ascii="Times New Roman" w:hAnsi="Times New Roman" w:cs="Times New Roman"/>
          <w:sz w:val="26"/>
          <w:szCs w:val="26"/>
          <w:lang w:eastAsia="ru-RU"/>
        </w:rPr>
        <w:t>населения</w:t>
      </w:r>
      <w:r w:rsidRPr="00502423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  <w:proofErr w:type="gramEnd"/>
    </w:p>
    <w:p w:rsidR="006D2852" w:rsidRPr="006D2852" w:rsidRDefault="006D2852" w:rsidP="006D2852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6D2852" w:rsidRPr="006D2852" w:rsidSect="0078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DBA"/>
    <w:rsid w:val="000521E4"/>
    <w:rsid w:val="002C5335"/>
    <w:rsid w:val="002E3D95"/>
    <w:rsid w:val="003158AE"/>
    <w:rsid w:val="004877D0"/>
    <w:rsid w:val="004D6C0B"/>
    <w:rsid w:val="00502423"/>
    <w:rsid w:val="005414E7"/>
    <w:rsid w:val="00554124"/>
    <w:rsid w:val="005B4F21"/>
    <w:rsid w:val="00613E4E"/>
    <w:rsid w:val="00642839"/>
    <w:rsid w:val="006B7C9C"/>
    <w:rsid w:val="006D2852"/>
    <w:rsid w:val="00787F99"/>
    <w:rsid w:val="00815119"/>
    <w:rsid w:val="008424C9"/>
    <w:rsid w:val="00851627"/>
    <w:rsid w:val="00906E44"/>
    <w:rsid w:val="00A206C0"/>
    <w:rsid w:val="00B158FB"/>
    <w:rsid w:val="00B971FB"/>
    <w:rsid w:val="00CC2730"/>
    <w:rsid w:val="00F6116F"/>
    <w:rsid w:val="00FB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4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D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D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E4E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E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B7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0;&#1082;&#1080;&#1090;&#1080;&#1085;&#1072;\&#1087;&#1080;&#1089;&#1100;&#1084;&#1072;\2022\&#1087;&#1083;&#1072;&#1085;\&#1087;&#1086;&#1082;&#1072;&#1079;&#1072;&#1090;&#1077;&#1083;&#1080;%20&#1085;&#1072;%201.1.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0"/>
    </c:view3D>
    <c:plotArea>
      <c:layout>
        <c:manualLayout>
          <c:layoutTarget val="inner"/>
          <c:xMode val="edge"/>
          <c:yMode val="edge"/>
          <c:x val="7.8470596580832802E-2"/>
          <c:y val="5.7425953428419323E-2"/>
          <c:w val="0.66838248105143983"/>
          <c:h val="0.79319864376383564"/>
        </c:manualLayout>
      </c:layout>
      <c:bar3DChart>
        <c:barDir val="col"/>
        <c:grouping val="clustered"/>
        <c:ser>
          <c:idx val="0"/>
          <c:order val="0"/>
          <c:tx>
            <c:strRef>
              <c:f>Лист2!$A$68</c:f>
              <c:strCache>
                <c:ptCount val="1"/>
                <c:pt idx="0">
                  <c:v>Количество малых и средних предприятий, включая микропредприятия (на конец года), ед.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Лист2!$B$68:$I$68</c:f>
              <c:numCache>
                <c:formatCode>General</c:formatCode>
                <c:ptCount val="8"/>
                <c:pt idx="0">
                  <c:v>459</c:v>
                </c:pt>
                <c:pt idx="1">
                  <c:v>440</c:v>
                </c:pt>
                <c:pt idx="2">
                  <c:v>397</c:v>
                </c:pt>
                <c:pt idx="3">
                  <c:v>407</c:v>
                </c:pt>
                <c:pt idx="4">
                  <c:v>410</c:v>
                </c:pt>
                <c:pt idx="5">
                  <c:v>415</c:v>
                </c:pt>
                <c:pt idx="6">
                  <c:v>420</c:v>
                </c:pt>
                <c:pt idx="7">
                  <c:v>425</c:v>
                </c:pt>
              </c:numCache>
            </c:numRef>
          </c:val>
        </c:ser>
        <c:ser>
          <c:idx val="1"/>
          <c:order val="1"/>
          <c:tx>
            <c:strRef>
              <c:f>Лист2!$A$69</c:f>
              <c:strCache>
                <c:ptCount val="1"/>
                <c:pt idx="0">
                  <c:v>ЮЛ, ед.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Лист2!$B$69:$I$69</c:f>
              <c:numCache>
                <c:formatCode>General</c:formatCode>
                <c:ptCount val="8"/>
                <c:pt idx="0">
                  <c:v>85</c:v>
                </c:pt>
                <c:pt idx="1">
                  <c:v>78</c:v>
                </c:pt>
                <c:pt idx="2">
                  <c:v>73</c:v>
                </c:pt>
                <c:pt idx="3">
                  <c:v>62</c:v>
                </c:pt>
                <c:pt idx="4">
                  <c:v>58</c:v>
                </c:pt>
                <c:pt idx="5">
                  <c:v>55</c:v>
                </c:pt>
                <c:pt idx="6">
                  <c:v>53</c:v>
                </c:pt>
                <c:pt idx="7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Лист2!$A$70</c:f>
              <c:strCache>
                <c:ptCount val="1"/>
                <c:pt idx="0">
                  <c:v>ИП, ед.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Лист2!$B$70:$I$70</c:f>
              <c:numCache>
                <c:formatCode>General</c:formatCode>
                <c:ptCount val="8"/>
                <c:pt idx="0">
                  <c:v>374</c:v>
                </c:pt>
                <c:pt idx="1">
                  <c:v>362</c:v>
                </c:pt>
                <c:pt idx="2">
                  <c:v>324</c:v>
                </c:pt>
                <c:pt idx="3">
                  <c:v>345</c:v>
                </c:pt>
                <c:pt idx="4">
                  <c:v>352</c:v>
                </c:pt>
                <c:pt idx="5">
                  <c:v>360</c:v>
                </c:pt>
                <c:pt idx="6">
                  <c:v>367</c:v>
                </c:pt>
                <c:pt idx="7">
                  <c:v>374</c:v>
                </c:pt>
              </c:numCache>
            </c:numRef>
          </c:val>
        </c:ser>
        <c:ser>
          <c:idx val="3"/>
          <c:order val="3"/>
          <c:tx>
            <c:strRef>
              <c:f>Лист2!$A$71</c:f>
              <c:strCache>
                <c:ptCount val="1"/>
                <c:pt idx="0">
                  <c:v>Количество открытых субъектов, ед.</c:v>
                </c:pt>
              </c:strCache>
            </c:strRef>
          </c:tx>
          <c:dLbls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Лист2!$B$71:$E$71</c:f>
              <c:numCache>
                <c:formatCode>General</c:formatCode>
                <c:ptCount val="4"/>
                <c:pt idx="0">
                  <c:v>110</c:v>
                </c:pt>
                <c:pt idx="1">
                  <c:v>93</c:v>
                </c:pt>
                <c:pt idx="2">
                  <c:v>65</c:v>
                </c:pt>
                <c:pt idx="3">
                  <c:v>88</c:v>
                </c:pt>
              </c:numCache>
            </c:numRef>
          </c:val>
        </c:ser>
        <c:ser>
          <c:idx val="4"/>
          <c:order val="4"/>
          <c:tx>
            <c:strRef>
              <c:f>Лист2!$A$72</c:f>
              <c:strCache>
                <c:ptCount val="1"/>
                <c:pt idx="0">
                  <c:v>Количество закрытых субъектов, ед.</c:v>
                </c:pt>
              </c:strCache>
            </c:strRef>
          </c:tx>
          <c:dLbls>
            <c:dLbl>
              <c:idx val="0"/>
              <c:layout>
                <c:manualLayout>
                  <c:x val="1.2500000000000001E-2"/>
                  <c:y val="3.2258064516129066E-2"/>
                </c:manualLayout>
              </c:layout>
              <c:showVal val="1"/>
            </c:dLbl>
            <c:dLbl>
              <c:idx val="1"/>
              <c:layout>
                <c:manualLayout>
                  <c:x val="1.0416666666666666E-2"/>
                  <c:y val="1.6129032258064523E-2"/>
                </c:manualLayout>
              </c:layout>
              <c:showVal val="1"/>
            </c:dLbl>
            <c:dLbl>
              <c:idx val="3"/>
              <c:layout>
                <c:manualLayout>
                  <c:x val="1.4583333333333341E-2"/>
                  <c:y val="2.150537634408603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Лист2!$B$67:$I$67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Лист2!$B$72:$E$72</c:f>
              <c:numCache>
                <c:formatCode>General</c:formatCode>
                <c:ptCount val="4"/>
                <c:pt idx="0">
                  <c:v>105</c:v>
                </c:pt>
                <c:pt idx="1">
                  <c:v>90</c:v>
                </c:pt>
                <c:pt idx="2">
                  <c:v>105</c:v>
                </c:pt>
                <c:pt idx="3">
                  <c:v>89</c:v>
                </c:pt>
              </c:numCache>
            </c:numRef>
          </c:val>
        </c:ser>
        <c:shape val="box"/>
        <c:axId val="79899648"/>
        <c:axId val="87251200"/>
        <c:axId val="0"/>
      </c:bar3DChart>
      <c:catAx>
        <c:axId val="798996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251200"/>
        <c:crosses val="autoZero"/>
        <c:auto val="1"/>
        <c:lblAlgn val="ctr"/>
        <c:lblOffset val="100"/>
      </c:catAx>
      <c:valAx>
        <c:axId val="872512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899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859189367764101"/>
          <c:y val="2.729845602039959E-2"/>
          <c:w val="0.25140810632235916"/>
          <c:h val="0.9477133928103777"/>
        </c:manualLayout>
      </c:layout>
      <c:txPr>
        <a:bodyPr/>
        <a:lstStyle/>
        <a:p>
          <a:pPr rtl="0">
            <a:defRPr sz="8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6.7924528301886791E-2"/>
          <c:y val="1.9373050066854861E-2"/>
          <c:w val="0.56100628930817653"/>
          <c:h val="0.8785944209803966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7.1417025701975931E-2"/>
                  <c:y val="-8.4488118230504117E-2"/>
                </c:manualLayout>
              </c:layout>
              <c:showVal val="1"/>
            </c:dLbl>
            <c:dLbl>
              <c:idx val="1"/>
              <c:layout>
                <c:manualLayout>
                  <c:x val="-2.5141880849799441E-2"/>
                  <c:y val="3.9423845604205178E-2"/>
                </c:manualLayout>
              </c:layout>
              <c:showVal val="1"/>
            </c:dLbl>
            <c:dLbl>
              <c:idx val="2"/>
              <c:layout>
                <c:manualLayout>
                  <c:x val="9.0432823255583647E-2"/>
                  <c:y val="0.14913739556140415"/>
                </c:manualLayout>
              </c:layout>
              <c:showVal val="1"/>
            </c:dLbl>
            <c:dLbl>
              <c:idx val="3"/>
              <c:layout>
                <c:manualLayout>
                  <c:x val="1.8839597880453623E-2"/>
                  <c:y val="0.21864238668279695"/>
                </c:manualLayout>
              </c:layout>
              <c:showVal val="1"/>
            </c:dLbl>
            <c:dLbl>
              <c:idx val="6"/>
              <c:layout>
                <c:manualLayout>
                  <c:x val="7.3671965532610309E-2"/>
                  <c:y val="-7.6617498284412569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Оптовая и розничная торговля </c:v>
                </c:pt>
                <c:pt idx="1">
                  <c:v>Сельское хозяйство и переработка с/х продукции </c:v>
                </c:pt>
                <c:pt idx="2">
                  <c:v>Пассажирские и грузоперевозки </c:v>
                </c:pt>
                <c:pt idx="3">
                  <c:v>Строительство и ремонт </c:v>
                </c:pt>
                <c:pt idx="4">
                  <c:v>Ремонт автотранспортных средств </c:v>
                </c:pt>
                <c:pt idx="5">
                  <c:v>Деятельность кафе и ресторанов </c:v>
                </c:pt>
                <c:pt idx="6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34.6</c:v>
                </c:pt>
                <c:pt idx="1">
                  <c:v>20.399999999999999</c:v>
                </c:pt>
                <c:pt idx="2">
                  <c:v>14.7</c:v>
                </c:pt>
                <c:pt idx="3">
                  <c:v>6.6</c:v>
                </c:pt>
                <c:pt idx="4">
                  <c:v>2.7</c:v>
                </c:pt>
                <c:pt idx="5">
                  <c:v>1.7</c:v>
                </c:pt>
                <c:pt idx="6">
                  <c:v>19.3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051502996087754"/>
          <c:y val="1.1009769612131827E-2"/>
          <c:w val="0.30281840241667934"/>
          <c:h val="0.95768972274692088"/>
        </c:manualLayout>
      </c:layout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 00</cp:lastModifiedBy>
  <cp:revision>8</cp:revision>
  <dcterms:created xsi:type="dcterms:W3CDTF">2022-03-10T11:40:00Z</dcterms:created>
  <dcterms:modified xsi:type="dcterms:W3CDTF">2022-03-10T13:58:00Z</dcterms:modified>
</cp:coreProperties>
</file>